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DDB6" w14:textId="5C03E871" w:rsidR="006E13B6" w:rsidRDefault="006E13B6">
      <w:pPr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2D84" wp14:editId="07A039AE">
                <wp:simplePos x="0" y="0"/>
                <wp:positionH relativeFrom="column">
                  <wp:posOffset>4502150</wp:posOffset>
                </wp:positionH>
                <wp:positionV relativeFrom="paragraph">
                  <wp:posOffset>-747106</wp:posOffset>
                </wp:positionV>
                <wp:extent cx="2493357" cy="143163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357" cy="1431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833CB" w14:textId="4ED35B5F" w:rsidR="006E13B6" w:rsidRDefault="006E13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52ECB" wp14:editId="2DAEDD97">
                                  <wp:extent cx="2176668" cy="13115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528" cy="1318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2D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5pt;margin-top:-58.85pt;width:196.3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" fillcolor="white [3201]" stroked="f" strokeweight=".5pt">
                <v:textbox>
                  <w:txbxContent>
                    <w:p w14:paraId="4FF833CB" w14:textId="4ED35B5F" w:rsidR="006E13B6" w:rsidRDefault="006E13B6">
                      <w:r>
                        <w:rPr>
                          <w:noProof/>
                        </w:rPr>
                        <w:drawing>
                          <wp:inline distT="0" distB="0" distL="0" distR="0" wp14:anchorId="1D652ECB" wp14:editId="2DAEDD97">
                            <wp:extent cx="2176668" cy="13115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528" cy="1318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9C2E5E" w14:textId="77777777" w:rsidR="006E13B6" w:rsidRDefault="006E13B6">
      <w:pPr>
        <w:rPr>
          <w:rFonts w:cs="Arial"/>
          <w:b/>
          <w:sz w:val="32"/>
          <w:szCs w:val="32"/>
          <w:u w:val="single"/>
        </w:rPr>
      </w:pPr>
    </w:p>
    <w:p w14:paraId="719F1F89" w14:textId="77777777" w:rsidR="006E13B6" w:rsidRDefault="006E13B6">
      <w:pPr>
        <w:rPr>
          <w:rFonts w:cs="Arial"/>
          <w:b/>
          <w:sz w:val="32"/>
          <w:szCs w:val="32"/>
          <w:u w:val="single"/>
        </w:rPr>
      </w:pPr>
    </w:p>
    <w:p w14:paraId="3D48B1BA" w14:textId="77777777" w:rsidR="006E13B6" w:rsidRDefault="006E13B6">
      <w:pPr>
        <w:rPr>
          <w:rFonts w:cs="Arial"/>
          <w:b/>
          <w:sz w:val="32"/>
          <w:szCs w:val="32"/>
          <w:u w:val="single"/>
        </w:rPr>
      </w:pPr>
    </w:p>
    <w:p w14:paraId="605C7501" w14:textId="6CAE9C25" w:rsidR="0080278B" w:rsidRPr="002757D4" w:rsidRDefault="009D62BA">
      <w:r w:rsidRPr="002757D4">
        <w:rPr>
          <w:rFonts w:cs="Arial"/>
          <w:b/>
          <w:sz w:val="32"/>
          <w:szCs w:val="32"/>
          <w:u w:val="single"/>
        </w:rPr>
        <w:t>Exercise-</w:t>
      </w:r>
      <w:r w:rsidR="00FE79E9" w:rsidRPr="002757D4">
        <w:rPr>
          <w:rFonts w:cs="Arial"/>
          <w:b/>
          <w:sz w:val="32"/>
          <w:szCs w:val="32"/>
          <w:u w:val="single"/>
        </w:rPr>
        <w:t xml:space="preserve"> </w:t>
      </w:r>
      <w:r w:rsidR="0080278B" w:rsidRPr="002757D4">
        <w:rPr>
          <w:rFonts w:cs="Arial"/>
          <w:b/>
          <w:sz w:val="32"/>
          <w:szCs w:val="32"/>
          <w:u w:val="single"/>
        </w:rPr>
        <w:t xml:space="preserve">Should </w:t>
      </w:r>
      <w:r w:rsidR="00FE79E9" w:rsidRPr="002757D4">
        <w:rPr>
          <w:rFonts w:cs="Arial"/>
          <w:b/>
          <w:sz w:val="32"/>
          <w:szCs w:val="32"/>
          <w:u w:val="single"/>
        </w:rPr>
        <w:t>Maria</w:t>
      </w:r>
      <w:r w:rsidR="0080278B" w:rsidRPr="002757D4">
        <w:rPr>
          <w:rFonts w:cs="Arial"/>
          <w:b/>
          <w:sz w:val="32"/>
          <w:szCs w:val="32"/>
          <w:u w:val="single"/>
        </w:rPr>
        <w:t xml:space="preserve"> </w:t>
      </w:r>
      <w:r w:rsidR="002E7AC0">
        <w:rPr>
          <w:rFonts w:cs="Arial"/>
          <w:b/>
          <w:sz w:val="32"/>
          <w:szCs w:val="32"/>
          <w:u w:val="single"/>
        </w:rPr>
        <w:t xml:space="preserve">Delay Collecting </w:t>
      </w:r>
      <w:r w:rsidR="0080278B" w:rsidRPr="002757D4">
        <w:rPr>
          <w:rFonts w:cs="Arial"/>
          <w:b/>
          <w:sz w:val="32"/>
          <w:szCs w:val="32"/>
          <w:u w:val="single"/>
        </w:rPr>
        <w:t>Social Security</w:t>
      </w:r>
      <w:r w:rsidR="002757D4">
        <w:rPr>
          <w:rFonts w:cs="Arial"/>
          <w:b/>
          <w:sz w:val="32"/>
          <w:szCs w:val="32"/>
        </w:rPr>
        <w:t>?</w:t>
      </w:r>
      <w:r w:rsidR="00FE79E9" w:rsidRPr="00FA4677">
        <w:rPr>
          <w:rFonts w:cs="Arial"/>
          <w:b/>
          <w:sz w:val="28"/>
          <w:szCs w:val="28"/>
        </w:rPr>
        <w:t xml:space="preserve">  </w:t>
      </w:r>
    </w:p>
    <w:p w14:paraId="13D1CD8A" w14:textId="77777777" w:rsidR="00C21354" w:rsidRPr="00FA4677" w:rsidRDefault="00C21354">
      <w:pPr>
        <w:rPr>
          <w:rFonts w:cs="Arial"/>
          <w:b/>
          <w:sz w:val="28"/>
          <w:szCs w:val="28"/>
        </w:rPr>
      </w:pPr>
    </w:p>
    <w:p w14:paraId="219A6FAF" w14:textId="77777777" w:rsidR="002E7AC0" w:rsidRDefault="002E7AC0" w:rsidP="002E7AC0">
      <w:r w:rsidRPr="00FA4677">
        <w:t xml:space="preserve">Maria was born in 1985 – her full retirement age is </w:t>
      </w:r>
      <w:proofErr w:type="gramStart"/>
      <w:r w:rsidRPr="00FA4677">
        <w:t>67</w:t>
      </w:r>
      <w:proofErr w:type="gramEnd"/>
      <w:r w:rsidRPr="00FA4677">
        <w:t xml:space="preserve"> </w:t>
      </w:r>
    </w:p>
    <w:p w14:paraId="3CBB4A3E" w14:textId="77777777" w:rsidR="002E7AC0" w:rsidRPr="00FA4677" w:rsidRDefault="002E7AC0" w:rsidP="002E7AC0"/>
    <w:p w14:paraId="781BF2CE" w14:textId="77777777" w:rsidR="002E7AC0" w:rsidRPr="006E13B6" w:rsidRDefault="002E7AC0" w:rsidP="002E7AC0">
      <w:pPr>
        <w:pStyle w:val="ListParagraph"/>
        <w:numPr>
          <w:ilvl w:val="0"/>
          <w:numId w:val="4"/>
        </w:numPr>
      </w:pPr>
      <w:r w:rsidRPr="00FA4677">
        <w:t xml:space="preserve">If she takes social security at </w:t>
      </w:r>
      <w:r>
        <w:t xml:space="preserve">her full retirement </w:t>
      </w:r>
      <w:r w:rsidRPr="00FA4677">
        <w:t xml:space="preserve">age </w:t>
      </w:r>
      <w:r>
        <w:t xml:space="preserve">of </w:t>
      </w:r>
      <w:r w:rsidRPr="00FA4677">
        <w:t>67</w:t>
      </w:r>
      <w:r>
        <w:t>,</w:t>
      </w:r>
      <w:r w:rsidRPr="00FA4677">
        <w:t xml:space="preserve"> she </w:t>
      </w:r>
      <w:proofErr w:type="gramStart"/>
      <w:r w:rsidRPr="00FA4677">
        <w:t>would</w:t>
      </w:r>
      <w:proofErr w:type="gramEnd"/>
      <w:r w:rsidRPr="00FA4677">
        <w:t xml:space="preserve"> get </w:t>
      </w:r>
      <w:r w:rsidRPr="00FA4677">
        <w:rPr>
          <w:b/>
          <w:color w:val="000000" w:themeColor="text1"/>
          <w:u w:val="single"/>
        </w:rPr>
        <w:t>$2</w:t>
      </w:r>
      <w:r>
        <w:rPr>
          <w:b/>
          <w:color w:val="000000" w:themeColor="text1"/>
          <w:u w:val="single"/>
        </w:rPr>
        <w:t>0</w:t>
      </w:r>
      <w:r w:rsidRPr="00FA4677">
        <w:rPr>
          <w:b/>
          <w:color w:val="000000" w:themeColor="text1"/>
          <w:u w:val="single"/>
        </w:rPr>
        <w:t xml:space="preserve">00 </w:t>
      </w:r>
      <w:r>
        <w:rPr>
          <w:b/>
          <w:color w:val="000000" w:themeColor="text1"/>
          <w:u w:val="single"/>
        </w:rPr>
        <w:t>monthly.</w:t>
      </w:r>
      <w:r w:rsidRPr="00FA4677">
        <w:rPr>
          <w:color w:val="000000" w:themeColor="text1"/>
        </w:rPr>
        <w:t xml:space="preserve"> </w:t>
      </w:r>
    </w:p>
    <w:p w14:paraId="633EB136" w14:textId="77777777" w:rsidR="002E7AC0" w:rsidRPr="000776C3" w:rsidRDefault="002E7AC0" w:rsidP="002E7AC0">
      <w:pPr>
        <w:rPr>
          <w:rFonts w:cs="Arial"/>
          <w:color w:val="222222"/>
          <w:shd w:val="clear" w:color="auto" w:fill="FFFFFF"/>
        </w:rPr>
      </w:pPr>
    </w:p>
    <w:p w14:paraId="77213F81" w14:textId="77777777" w:rsidR="002E7AC0" w:rsidRPr="008B507F" w:rsidRDefault="002E7AC0" w:rsidP="002E7AC0">
      <w:pPr>
        <w:pStyle w:val="ListParagraph"/>
        <w:numPr>
          <w:ilvl w:val="0"/>
          <w:numId w:val="4"/>
        </w:numPr>
        <w:rPr>
          <w:b/>
          <w:u w:val="single"/>
        </w:rPr>
      </w:pPr>
      <w:r w:rsidRPr="00FA4677">
        <w:rPr>
          <w:rFonts w:cs="Arial"/>
          <w:color w:val="222222"/>
          <w:shd w:val="clear" w:color="auto" w:fill="FFFFFF"/>
        </w:rPr>
        <w:t xml:space="preserve">If she waits past her full retirement age, </w:t>
      </w:r>
      <w:r w:rsidRPr="00FA4677">
        <w:rPr>
          <w:rFonts w:eastAsia="Times New Roman" w:cs="Arial"/>
          <w:color w:val="222222"/>
          <w:shd w:val="clear" w:color="auto" w:fill="FFFFFF"/>
        </w:rPr>
        <w:t xml:space="preserve">every month she </w:t>
      </w:r>
      <w:r w:rsidRPr="00CF0CF2">
        <w:rPr>
          <w:rFonts w:eastAsia="Times New Roman" w:cs="Arial"/>
          <w:color w:val="222222"/>
        </w:rPr>
        <w:t>waits</w:t>
      </w:r>
      <w:r>
        <w:rPr>
          <w:rFonts w:eastAsia="Times New Roman" w:cs="Arial"/>
          <w:color w:val="222222"/>
        </w:rPr>
        <w:t>,</w:t>
      </w:r>
      <w:r w:rsidRPr="00CF0CF2">
        <w:rPr>
          <w:rFonts w:eastAsia="Times New Roman" w:cs="Arial"/>
          <w:color w:val="222222"/>
        </w:rPr>
        <w:t xml:space="preserve"> </w:t>
      </w:r>
      <w:r w:rsidRPr="00FA4677">
        <w:rPr>
          <w:rFonts w:eastAsia="Times New Roman" w:cs="Arial"/>
          <w:color w:val="222222"/>
          <w:shd w:val="clear" w:color="auto" w:fill="FFFFFF"/>
        </w:rPr>
        <w:t>her payment</w:t>
      </w:r>
      <w:r>
        <w:rPr>
          <w:rFonts w:eastAsia="Times New Roman" w:cs="Arial"/>
          <w:color w:val="222222"/>
          <w:shd w:val="clear" w:color="auto" w:fill="FFFFFF"/>
        </w:rPr>
        <w:t xml:space="preserve"> increases by 2/3 of 1%,</w:t>
      </w:r>
      <w:r w:rsidRPr="00FA4677">
        <w:rPr>
          <w:rFonts w:eastAsia="Times New Roman" w:cs="Arial"/>
          <w:color w:val="222222"/>
          <w:shd w:val="clear" w:color="auto" w:fill="FFFFFF"/>
        </w:rPr>
        <w:t xml:space="preserve"> or approximately 8% </w:t>
      </w:r>
      <w:r>
        <w:rPr>
          <w:rFonts w:eastAsia="Times New Roman" w:cs="Arial"/>
          <w:color w:val="222222"/>
          <w:shd w:val="clear" w:color="auto" w:fill="FFFFFF"/>
        </w:rPr>
        <w:t>a year</w:t>
      </w:r>
      <w:r w:rsidRPr="00FA4677">
        <w:rPr>
          <w:rFonts w:eastAsia="Times New Roman" w:cs="Arial"/>
          <w:color w:val="222222"/>
          <w:shd w:val="clear" w:color="auto" w:fill="FFFFFF"/>
        </w:rPr>
        <w:t xml:space="preserve">. </w:t>
      </w:r>
      <w:r>
        <w:rPr>
          <w:rFonts w:eastAsia="Times New Roman" w:cs="Arial"/>
          <w:color w:val="222222"/>
          <w:shd w:val="clear" w:color="auto" w:fill="FFFFFF"/>
        </w:rPr>
        <w:t>BELOW, I have shown this to be an increase of $160 annually, but the actual number may be a few dollars different.</w:t>
      </w:r>
      <w:r w:rsidRPr="00FA4677">
        <w:rPr>
          <w:rFonts w:eastAsia="Times New Roman" w:cs="Arial"/>
          <w:color w:val="222222"/>
          <w:shd w:val="clear" w:color="auto" w:fill="FFFFFF"/>
        </w:rPr>
        <w:t xml:space="preserve"> </w:t>
      </w:r>
    </w:p>
    <w:p w14:paraId="518E1E5D" w14:textId="77777777" w:rsidR="002E7AC0" w:rsidRPr="008B507F" w:rsidRDefault="002E7AC0" w:rsidP="002E7AC0">
      <w:pPr>
        <w:rPr>
          <w:b/>
          <w:u w:val="single"/>
        </w:rPr>
      </w:pPr>
    </w:p>
    <w:p w14:paraId="542FC235" w14:textId="77777777" w:rsidR="002E7AC0" w:rsidRPr="000776C3" w:rsidRDefault="002E7AC0" w:rsidP="002E7AC0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rFonts w:eastAsia="Times New Roman" w:cs="Arial"/>
          <w:color w:val="222222"/>
          <w:shd w:val="clear" w:color="auto" w:fill="FFFFFF"/>
        </w:rPr>
        <w:t>However, the increase stops when she reaches 70 years of age. There is NO benefit by waiting past age 70.</w:t>
      </w:r>
    </w:p>
    <w:p w14:paraId="473A3EB9" w14:textId="77777777" w:rsidR="002E7AC0" w:rsidRPr="000776C3" w:rsidRDefault="002E7AC0" w:rsidP="002E7AC0">
      <w:pPr>
        <w:pStyle w:val="ListParagraph"/>
        <w:rPr>
          <w:rFonts w:eastAsia="Times New Roman" w:cs="Arial"/>
          <w:color w:val="222222"/>
          <w:shd w:val="clear" w:color="auto" w:fill="FFFFFF"/>
        </w:rPr>
      </w:pPr>
    </w:p>
    <w:p w14:paraId="7FC71E93" w14:textId="4E1A3358" w:rsidR="00FA4677" w:rsidRPr="002E7AC0" w:rsidRDefault="002E7AC0" w:rsidP="002E7AC0">
      <w:pPr>
        <w:pStyle w:val="ListParagraph"/>
        <w:numPr>
          <w:ilvl w:val="0"/>
          <w:numId w:val="4"/>
        </w:numPr>
        <w:rPr>
          <w:b/>
          <w:u w:val="single"/>
        </w:rPr>
      </w:pPr>
      <w:r w:rsidRPr="000776C3">
        <w:rPr>
          <w:rFonts w:eastAsia="Times New Roman" w:cs="Arial"/>
          <w:color w:val="222222"/>
          <w:shd w:val="clear" w:color="auto" w:fill="FFFFFF"/>
        </w:rPr>
        <w:t>Thus, at age 7</w:t>
      </w:r>
      <w:r>
        <w:rPr>
          <w:rFonts w:eastAsia="Times New Roman" w:cs="Arial"/>
          <w:color w:val="222222"/>
          <w:shd w:val="clear" w:color="auto" w:fill="FFFFFF"/>
        </w:rPr>
        <w:t>0</w:t>
      </w:r>
      <w:r w:rsidRPr="000776C3">
        <w:rPr>
          <w:rFonts w:eastAsia="Times New Roman" w:cs="Arial"/>
          <w:color w:val="222222"/>
          <w:shd w:val="clear" w:color="auto" w:fill="FFFFFF"/>
        </w:rPr>
        <w:t xml:space="preserve">, </w:t>
      </w:r>
      <w:r w:rsidRPr="00FA4677">
        <w:t xml:space="preserve">she would receive </w:t>
      </w:r>
      <w:r>
        <w:t>$ 2,480.</w:t>
      </w:r>
    </w:p>
    <w:p w14:paraId="589A10DD" w14:textId="77777777" w:rsidR="006E13B6" w:rsidRDefault="006E13B6" w:rsidP="000776C3">
      <w:pPr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596"/>
        <w:gridCol w:w="3597"/>
      </w:tblGrid>
      <w:tr w:rsidR="000776C3" w14:paraId="682F2485" w14:textId="77777777" w:rsidTr="000776C3">
        <w:tc>
          <w:tcPr>
            <w:tcW w:w="3596" w:type="dxa"/>
          </w:tcPr>
          <w:p w14:paraId="12CA96D8" w14:textId="2E9DD2B0" w:rsidR="000776C3" w:rsidRDefault="000776C3" w:rsidP="001621ED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67</w:t>
            </w:r>
          </w:p>
        </w:tc>
        <w:tc>
          <w:tcPr>
            <w:tcW w:w="3597" w:type="dxa"/>
          </w:tcPr>
          <w:p w14:paraId="0109AAEC" w14:textId="16DF77D9" w:rsidR="000776C3" w:rsidRDefault="000776C3" w:rsidP="001621ED">
            <w:pPr>
              <w:jc w:val="center"/>
            </w:pPr>
            <w:r>
              <w:t>$2,000</w:t>
            </w:r>
          </w:p>
        </w:tc>
      </w:tr>
      <w:tr w:rsidR="000776C3" w14:paraId="393ADD82" w14:textId="77777777" w:rsidTr="000776C3">
        <w:tc>
          <w:tcPr>
            <w:tcW w:w="3596" w:type="dxa"/>
          </w:tcPr>
          <w:p w14:paraId="7398EFC9" w14:textId="5B97EE5D" w:rsidR="000776C3" w:rsidRDefault="000776C3" w:rsidP="001621ED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68</w:t>
            </w:r>
          </w:p>
        </w:tc>
        <w:tc>
          <w:tcPr>
            <w:tcW w:w="3597" w:type="dxa"/>
          </w:tcPr>
          <w:p w14:paraId="4D33DA52" w14:textId="5BE056F0" w:rsidR="000776C3" w:rsidRDefault="000776C3" w:rsidP="001621ED">
            <w:pPr>
              <w:jc w:val="center"/>
            </w:pPr>
            <w:r>
              <w:t>$2,160</w:t>
            </w:r>
          </w:p>
        </w:tc>
      </w:tr>
      <w:tr w:rsidR="000776C3" w14:paraId="4F758E8A" w14:textId="77777777" w:rsidTr="000776C3">
        <w:tc>
          <w:tcPr>
            <w:tcW w:w="3596" w:type="dxa"/>
          </w:tcPr>
          <w:p w14:paraId="22508E08" w14:textId="15CB8717" w:rsidR="000776C3" w:rsidRDefault="000776C3" w:rsidP="001621ED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69</w:t>
            </w:r>
          </w:p>
        </w:tc>
        <w:tc>
          <w:tcPr>
            <w:tcW w:w="3597" w:type="dxa"/>
          </w:tcPr>
          <w:p w14:paraId="07659F87" w14:textId="61D1380B" w:rsidR="000776C3" w:rsidRDefault="000776C3" w:rsidP="001621ED">
            <w:pPr>
              <w:jc w:val="center"/>
            </w:pPr>
            <w:r>
              <w:t>$2,320</w:t>
            </w:r>
          </w:p>
        </w:tc>
      </w:tr>
      <w:tr w:rsidR="000776C3" w14:paraId="0DB9D642" w14:textId="77777777" w:rsidTr="000776C3">
        <w:tc>
          <w:tcPr>
            <w:tcW w:w="3596" w:type="dxa"/>
          </w:tcPr>
          <w:p w14:paraId="6BEA289C" w14:textId="79CE856E" w:rsidR="000776C3" w:rsidRDefault="000776C3" w:rsidP="001621ED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 70</w:t>
            </w:r>
          </w:p>
        </w:tc>
        <w:tc>
          <w:tcPr>
            <w:tcW w:w="3597" w:type="dxa"/>
          </w:tcPr>
          <w:p w14:paraId="1124D8C5" w14:textId="7932C60D" w:rsidR="000776C3" w:rsidRDefault="000776C3" w:rsidP="001621ED">
            <w:pPr>
              <w:jc w:val="center"/>
            </w:pPr>
            <w:r>
              <w:t>$2,480</w:t>
            </w:r>
          </w:p>
        </w:tc>
      </w:tr>
    </w:tbl>
    <w:p w14:paraId="2599BB4F" w14:textId="77777777" w:rsidR="000776C3" w:rsidRDefault="000776C3" w:rsidP="002757D4"/>
    <w:p w14:paraId="691295ED" w14:textId="65C29D8A" w:rsidR="002757D4" w:rsidRDefault="0080278B" w:rsidP="002757D4">
      <w:r w:rsidRPr="006E13B6">
        <w:rPr>
          <w:color w:val="FF0000"/>
        </w:rPr>
        <w:t>QUESTION #</w:t>
      </w:r>
      <w:r w:rsidR="000776C3" w:rsidRPr="006E13B6">
        <w:rPr>
          <w:color w:val="FF0000"/>
        </w:rPr>
        <w:t xml:space="preserve">1 </w:t>
      </w:r>
      <w:r w:rsidR="000776C3">
        <w:t>–</w:t>
      </w:r>
      <w:r w:rsidRPr="00FA4677">
        <w:t xml:space="preserve"> </w:t>
      </w:r>
      <w:r w:rsidR="000776C3">
        <w:t>How long does Maria have to live, and to make</w:t>
      </w:r>
      <w:r w:rsidR="002757D4">
        <w:t xml:space="preserve"> it worthwhile </w:t>
      </w:r>
      <w:r w:rsidR="000776C3" w:rsidRPr="000776C3">
        <w:t>to delay collecting social security from age 67 to</w:t>
      </w:r>
      <w:r w:rsidR="002757D4">
        <w:t xml:space="preserve"> 7</w:t>
      </w:r>
      <w:r w:rsidR="00343804">
        <w:t>0</w:t>
      </w:r>
      <w:r w:rsidR="002757D4">
        <w:t>?</w:t>
      </w:r>
    </w:p>
    <w:p w14:paraId="090E8EAD" w14:textId="77777777" w:rsidR="00C21354" w:rsidRPr="00FA4677" w:rsidRDefault="00C21354" w:rsidP="00C21354">
      <w:pPr>
        <w:rPr>
          <w:rFonts w:cs="Arial"/>
        </w:rPr>
      </w:pPr>
    </w:p>
    <w:p w14:paraId="0E8433B4" w14:textId="3AED9D3C" w:rsidR="00C21354" w:rsidRDefault="000776C3" w:rsidP="00C21354">
      <w:pPr>
        <w:rPr>
          <w:rFonts w:cs="Arial"/>
        </w:rPr>
      </w:pPr>
      <w:r w:rsidRPr="000776C3">
        <w:rPr>
          <w:rFonts w:cs="Arial"/>
          <w:b/>
          <w:bCs/>
          <w:color w:val="FF0000"/>
        </w:rPr>
        <w:t>HINT</w:t>
      </w:r>
      <w:r w:rsidR="0080278B" w:rsidRPr="00FA4677">
        <w:rPr>
          <w:rFonts w:cs="Arial"/>
        </w:rPr>
        <w:t>, think about what she is “giving up” vs. what she is “gaining”</w:t>
      </w:r>
      <w:r w:rsidR="00FA4677" w:rsidRPr="00FA4677">
        <w:rPr>
          <w:rFonts w:cs="Arial"/>
        </w:rPr>
        <w:t xml:space="preserve"> and how long </w:t>
      </w:r>
      <w:r>
        <w:rPr>
          <w:rFonts w:cs="Arial"/>
        </w:rPr>
        <w:t xml:space="preserve">it takes </w:t>
      </w:r>
      <w:r w:rsidR="00E90AE0">
        <w:rPr>
          <w:rFonts w:cs="Arial"/>
        </w:rPr>
        <w:t>to make up the amount she has lost – thus</w:t>
      </w:r>
      <w:r>
        <w:rPr>
          <w:rFonts w:cs="Arial"/>
        </w:rPr>
        <w:t>, what is the</w:t>
      </w:r>
      <w:r w:rsidR="00E90AE0">
        <w:rPr>
          <w:rFonts w:cs="Arial"/>
        </w:rPr>
        <w:t xml:space="preserve"> break-even point?</w:t>
      </w:r>
    </w:p>
    <w:p w14:paraId="3C75FB50" w14:textId="1536F02D" w:rsidR="00E90AE0" w:rsidRDefault="00E90AE0" w:rsidP="00C21354">
      <w:pPr>
        <w:rPr>
          <w:rFonts w:cs="Arial"/>
        </w:rPr>
      </w:pPr>
    </w:p>
    <w:p w14:paraId="77A8A617" w14:textId="1BF8C5F5" w:rsidR="00E90AE0" w:rsidRDefault="00E90AE0" w:rsidP="00C21354">
      <w:pPr>
        <w:rPr>
          <w:rFonts w:cs="Arial"/>
        </w:rPr>
      </w:pPr>
    </w:p>
    <w:p w14:paraId="11FEA026" w14:textId="77777777" w:rsidR="00817F7E" w:rsidRPr="00817F7E" w:rsidRDefault="00817F7E" w:rsidP="00C21354">
      <w:pPr>
        <w:rPr>
          <w:rFonts w:cs="Arial"/>
          <w:b/>
          <w:color w:val="FF0000"/>
        </w:rPr>
      </w:pPr>
      <w:r w:rsidRPr="00817F7E">
        <w:rPr>
          <w:rFonts w:cs="Arial"/>
          <w:b/>
          <w:color w:val="FF0000"/>
        </w:rPr>
        <w:t>CHALLENGE</w:t>
      </w:r>
    </w:p>
    <w:p w14:paraId="31CEF663" w14:textId="208C8C2D" w:rsidR="00E90AE0" w:rsidRPr="00FA4677" w:rsidRDefault="00E90AE0" w:rsidP="00C21354">
      <w:pPr>
        <w:rPr>
          <w:rFonts w:cs="Arial"/>
        </w:rPr>
      </w:pPr>
      <w:r>
        <w:rPr>
          <w:rFonts w:cs="Arial"/>
        </w:rPr>
        <w:t xml:space="preserve">Once you solve </w:t>
      </w:r>
      <w:r w:rsidR="00817F7E">
        <w:rPr>
          <w:rFonts w:cs="Arial"/>
        </w:rPr>
        <w:t>the above</w:t>
      </w:r>
      <w:r>
        <w:rPr>
          <w:rFonts w:cs="Arial"/>
        </w:rPr>
        <w:t xml:space="preserve">, go onto the Social Security Administration website, register, find out at what age you will reach full retirement, and see if you can do the same </w:t>
      </w:r>
      <w:r w:rsidR="006D6814">
        <w:rPr>
          <w:rFonts w:cs="Arial"/>
        </w:rPr>
        <w:t>calculat</w:t>
      </w:r>
      <w:r w:rsidR="008F5129">
        <w:rPr>
          <w:rFonts w:cs="Arial"/>
        </w:rPr>
        <w:t xml:space="preserve">ion </w:t>
      </w:r>
      <w:r w:rsidR="00817F7E">
        <w:rPr>
          <w:rFonts w:cs="Arial"/>
        </w:rPr>
        <w:t>based on your earnings record</w:t>
      </w:r>
      <w:r>
        <w:rPr>
          <w:rFonts w:cs="Arial"/>
        </w:rPr>
        <w:t>.</w:t>
      </w:r>
      <w:r w:rsidR="00817F7E">
        <w:rPr>
          <w:rFonts w:cs="Arial"/>
        </w:rPr>
        <w:t xml:space="preserve"> </w:t>
      </w:r>
      <w:r w:rsidR="00817F7E" w:rsidRPr="00AF1DCD">
        <w:t xml:space="preserve">Go to: </w:t>
      </w:r>
      <w:hyperlink r:id="rId8" w:history="1">
        <w:r w:rsidR="00817F7E" w:rsidRPr="00AF1DCD">
          <w:rPr>
            <w:rStyle w:val="Hyperlink"/>
          </w:rPr>
          <w:t>https://www.ssa.gov/</w:t>
        </w:r>
      </w:hyperlink>
    </w:p>
    <w:p w14:paraId="00C0445B" w14:textId="77777777" w:rsidR="0080278B" w:rsidRPr="00FA4677" w:rsidRDefault="0080278B" w:rsidP="00C21354">
      <w:pPr>
        <w:rPr>
          <w:rFonts w:cs="Arial"/>
        </w:rPr>
      </w:pPr>
    </w:p>
    <w:p w14:paraId="7B05C7D2" w14:textId="77777777" w:rsidR="00343804" w:rsidRPr="00343804" w:rsidRDefault="00343804" w:rsidP="00343804">
      <w:pPr>
        <w:rPr>
          <w:rFonts w:ascii="Arial" w:hAnsi="Arial" w:cs="Arial"/>
          <w:sz w:val="28"/>
          <w:szCs w:val="28"/>
        </w:rPr>
      </w:pPr>
    </w:p>
    <w:sectPr w:rsidR="00343804" w:rsidRPr="00343804" w:rsidSect="00F50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DC8F" w14:textId="77777777" w:rsidR="00F50D04" w:rsidRDefault="00F50D04" w:rsidP="00184C75">
      <w:r>
        <w:separator/>
      </w:r>
    </w:p>
  </w:endnote>
  <w:endnote w:type="continuationSeparator" w:id="0">
    <w:p w14:paraId="12756402" w14:textId="77777777" w:rsidR="00F50D04" w:rsidRDefault="00F50D04" w:rsidP="001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EF59" w14:textId="77777777" w:rsidR="00184C75" w:rsidRDefault="00184C75" w:rsidP="00B734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5ED24" w14:textId="77777777" w:rsidR="00184C75" w:rsidRDefault="00184C75" w:rsidP="00184C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A90" w14:textId="77777777" w:rsidR="00184C75" w:rsidRDefault="00184C75" w:rsidP="00B734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4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458FD9" w14:textId="14142521" w:rsidR="00184C75" w:rsidRDefault="00343804" w:rsidP="00184C75">
    <w:pPr>
      <w:pStyle w:val="Footer"/>
      <w:ind w:right="360"/>
    </w:pPr>
    <w:r>
      <w:t>3</w:t>
    </w:r>
    <w:r w:rsidR="006E13B6">
      <w:t>-2-202</w:t>
    </w:r>
    <w:r>
      <w:t>4</w:t>
    </w:r>
    <w:r w:rsidR="00E90AE0">
      <w:tab/>
      <w:t xml:space="preserve">                             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9646" w14:textId="77777777" w:rsidR="00E90AE0" w:rsidRDefault="00E9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B70E" w14:textId="77777777" w:rsidR="00F50D04" w:rsidRDefault="00F50D04" w:rsidP="00184C75">
      <w:r>
        <w:separator/>
      </w:r>
    </w:p>
  </w:footnote>
  <w:footnote w:type="continuationSeparator" w:id="0">
    <w:p w14:paraId="6C64AB98" w14:textId="77777777" w:rsidR="00F50D04" w:rsidRDefault="00F50D04" w:rsidP="0018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DF9E" w14:textId="77777777" w:rsidR="00E90AE0" w:rsidRDefault="00E90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7894" w14:textId="77777777" w:rsidR="002738BD" w:rsidRDefault="00FA4677">
    <w:pPr>
      <w:pStyle w:val="Header"/>
    </w:pPr>
    <w:r>
      <w:t xml:space="preserve">MONEY 101 – </w:t>
    </w:r>
  </w:p>
  <w:p w14:paraId="7241AC56" w14:textId="79F67E28" w:rsidR="00FA4677" w:rsidRDefault="00EE5476">
    <w:pPr>
      <w:pStyle w:val="Header"/>
    </w:pPr>
    <w:r>
      <w:t>8.2</w:t>
    </w:r>
    <w:r w:rsidR="006E13B6">
      <w:t>2a</w:t>
    </w:r>
    <w:r w:rsidR="002738BD">
      <w:t xml:space="preserve"> </w:t>
    </w:r>
    <w:r w:rsidR="00FA4677">
      <w:t xml:space="preserve">Exercise: When Should </w:t>
    </w:r>
    <w:r w:rsidR="006E13B6">
      <w:t>MARIA</w:t>
    </w:r>
    <w:r w:rsidR="00FA4677">
      <w:t xml:space="preserve"> Collect Social Security?</w:t>
    </w:r>
  </w:p>
  <w:p w14:paraId="5C7D47FE" w14:textId="77777777" w:rsidR="00FA4677" w:rsidRDefault="00FA4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6DE1" w14:textId="77777777" w:rsidR="00E90AE0" w:rsidRDefault="00E90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BF2B57"/>
    <w:multiLevelType w:val="hybridMultilevel"/>
    <w:tmpl w:val="CEE2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4A4B"/>
    <w:multiLevelType w:val="hybridMultilevel"/>
    <w:tmpl w:val="C042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23646"/>
    <w:multiLevelType w:val="hybridMultilevel"/>
    <w:tmpl w:val="A95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54774"/>
    <w:multiLevelType w:val="hybridMultilevel"/>
    <w:tmpl w:val="51AED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6926748">
    <w:abstractNumId w:val="0"/>
  </w:num>
  <w:num w:numId="2" w16cid:durableId="372928264">
    <w:abstractNumId w:val="4"/>
  </w:num>
  <w:num w:numId="3" w16cid:durableId="583879979">
    <w:abstractNumId w:val="3"/>
  </w:num>
  <w:num w:numId="4" w16cid:durableId="2073650139">
    <w:abstractNumId w:val="1"/>
  </w:num>
  <w:num w:numId="5" w16cid:durableId="71443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E9"/>
    <w:rsid w:val="000776C3"/>
    <w:rsid w:val="000E7B9F"/>
    <w:rsid w:val="001274B6"/>
    <w:rsid w:val="001621ED"/>
    <w:rsid w:val="00184C75"/>
    <w:rsid w:val="001F2B81"/>
    <w:rsid w:val="00220EA6"/>
    <w:rsid w:val="002738BD"/>
    <w:rsid w:val="002757D4"/>
    <w:rsid w:val="0029159E"/>
    <w:rsid w:val="002D2582"/>
    <w:rsid w:val="002E6227"/>
    <w:rsid w:val="002E7AC0"/>
    <w:rsid w:val="00343804"/>
    <w:rsid w:val="00423913"/>
    <w:rsid w:val="00435F38"/>
    <w:rsid w:val="0044566E"/>
    <w:rsid w:val="00467BED"/>
    <w:rsid w:val="004D4A51"/>
    <w:rsid w:val="00501326"/>
    <w:rsid w:val="005C5521"/>
    <w:rsid w:val="00636677"/>
    <w:rsid w:val="006C06F9"/>
    <w:rsid w:val="006D6814"/>
    <w:rsid w:val="006E13B6"/>
    <w:rsid w:val="00715768"/>
    <w:rsid w:val="0080278B"/>
    <w:rsid w:val="00817F7E"/>
    <w:rsid w:val="008714AE"/>
    <w:rsid w:val="00880E83"/>
    <w:rsid w:val="00894843"/>
    <w:rsid w:val="008F5129"/>
    <w:rsid w:val="009D62BA"/>
    <w:rsid w:val="00A03B54"/>
    <w:rsid w:val="00C21354"/>
    <w:rsid w:val="00DE7211"/>
    <w:rsid w:val="00E90AE0"/>
    <w:rsid w:val="00EA567C"/>
    <w:rsid w:val="00EE5476"/>
    <w:rsid w:val="00F50D04"/>
    <w:rsid w:val="00F573A4"/>
    <w:rsid w:val="00FA4677"/>
    <w:rsid w:val="00FC5E95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6C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3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C75"/>
  </w:style>
  <w:style w:type="character" w:styleId="PageNumber">
    <w:name w:val="page number"/>
    <w:basedOn w:val="DefaultParagraphFont"/>
    <w:uiPriority w:val="99"/>
    <w:semiHidden/>
    <w:unhideWhenUsed/>
    <w:rsid w:val="00184C75"/>
  </w:style>
  <w:style w:type="character" w:customStyle="1" w:styleId="Heading1Char">
    <w:name w:val="Heading 1 Char"/>
    <w:basedOn w:val="DefaultParagraphFont"/>
    <w:link w:val="Heading1"/>
    <w:uiPriority w:val="9"/>
    <w:rsid w:val="0080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A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77"/>
  </w:style>
  <w:style w:type="character" w:styleId="Hyperlink">
    <w:name w:val="Hyperlink"/>
    <w:basedOn w:val="DefaultParagraphFont"/>
    <w:uiPriority w:val="99"/>
    <w:unhideWhenUsed/>
    <w:rsid w:val="00817F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1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7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Rosamond Bovey</dc:creator>
  <cp:keywords/>
  <dc:description/>
  <cp:lastModifiedBy>Diane Drey</cp:lastModifiedBy>
  <cp:revision>5</cp:revision>
  <cp:lastPrinted>2023-11-25T23:19:00Z</cp:lastPrinted>
  <dcterms:created xsi:type="dcterms:W3CDTF">2024-02-17T17:54:00Z</dcterms:created>
  <dcterms:modified xsi:type="dcterms:W3CDTF">2024-03-02T05:11:00Z</dcterms:modified>
</cp:coreProperties>
</file>